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ind w:right="206" w:rightChars="98"/>
        <w:jc w:val="center"/>
        <w:rPr>
          <w:b/>
          <w:color w:val="FF0000"/>
          <w:sz w:val="44"/>
          <w:szCs w:val="44"/>
        </w:rPr>
      </w:pPr>
      <w:r>
        <w:rPr>
          <w:rFonts w:hint="eastAsia"/>
          <w:b/>
          <w:color w:val="FF0000"/>
          <w:sz w:val="44"/>
          <w:szCs w:val="44"/>
        </w:rPr>
        <w:t xml:space="preserve"> 陕西林业集团有限公司发文稿纸</w:t>
      </w:r>
    </w:p>
    <w:tbl>
      <w:tblPr>
        <w:tblStyle w:val="4"/>
        <w:tblW w:w="8790" w:type="dxa"/>
        <w:tblInd w:w="56" w:type="dxa"/>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Layout w:type="fixed"/>
        <w:tblCellMar>
          <w:top w:w="0" w:type="dxa"/>
          <w:left w:w="108" w:type="dxa"/>
          <w:bottom w:w="0" w:type="dxa"/>
          <w:right w:w="108" w:type="dxa"/>
        </w:tblCellMar>
      </w:tblPr>
      <w:tblGrid>
        <w:gridCol w:w="3033"/>
        <w:gridCol w:w="1432"/>
        <w:gridCol w:w="1375"/>
        <w:gridCol w:w="1543"/>
        <w:gridCol w:w="1407"/>
      </w:tblGrid>
      <w:tr>
        <w:tblPrEx>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108" w:type="dxa"/>
            <w:bottom w:w="0" w:type="dxa"/>
            <w:right w:w="108" w:type="dxa"/>
          </w:tblCellMar>
        </w:tblPrEx>
        <w:trPr>
          <w:trHeight w:val="1417" w:hRule="atLeast"/>
        </w:trPr>
        <w:tc>
          <w:tcPr>
            <w:tcW w:w="3033" w:type="dxa"/>
            <w:tcBorders>
              <w:tl2br w:val="nil"/>
              <w:tr2bl w:val="nil"/>
            </w:tcBorders>
          </w:tcPr>
          <w:p>
            <w:pPr>
              <w:spacing w:line="576" w:lineRule="exact"/>
              <w:ind w:right="206" w:rightChars="98"/>
              <w:jc w:val="left"/>
              <w:rPr>
                <w:rFonts w:ascii="楷体" w:hAnsi="楷体" w:eastAsia="楷体" w:cs="楷体"/>
                <w:bCs/>
                <w:color w:val="FF0000"/>
                <w:sz w:val="28"/>
                <w:szCs w:val="28"/>
              </w:rPr>
            </w:pPr>
            <w:r>
              <w:rPr>
                <w:rFonts w:hint="eastAsia" w:ascii="楷体" w:hAnsi="楷体" w:eastAsia="楷体" w:cs="楷体"/>
                <w:bCs/>
                <w:color w:val="FF0000"/>
                <w:sz w:val="28"/>
                <w:szCs w:val="28"/>
              </w:rPr>
              <w:t>签发：</w:t>
            </w:r>
          </w:p>
        </w:tc>
        <w:tc>
          <w:tcPr>
            <w:tcW w:w="2807" w:type="dxa"/>
            <w:gridSpan w:val="2"/>
            <w:tcBorders>
              <w:tl2br w:val="nil"/>
              <w:tr2bl w:val="nil"/>
            </w:tcBorders>
          </w:tcPr>
          <w:p>
            <w:pPr>
              <w:spacing w:line="576" w:lineRule="exact"/>
              <w:ind w:right="206" w:rightChars="98"/>
              <w:jc w:val="left"/>
              <w:rPr>
                <w:rFonts w:ascii="楷体" w:hAnsi="楷体" w:eastAsia="楷体" w:cs="楷体"/>
                <w:bCs/>
                <w:color w:val="FF0000"/>
                <w:sz w:val="28"/>
                <w:szCs w:val="28"/>
              </w:rPr>
            </w:pPr>
            <w:r>
              <w:rPr>
                <w:rFonts w:hint="eastAsia" w:ascii="楷体" w:hAnsi="楷体" w:eastAsia="楷体" w:cs="楷体"/>
                <w:bCs/>
                <w:color w:val="FF0000"/>
                <w:sz w:val="28"/>
                <w:szCs w:val="28"/>
              </w:rPr>
              <w:t>会稿：</w:t>
            </w:r>
          </w:p>
        </w:tc>
        <w:tc>
          <w:tcPr>
            <w:tcW w:w="2950" w:type="dxa"/>
            <w:gridSpan w:val="2"/>
            <w:tcBorders>
              <w:tl2br w:val="nil"/>
              <w:tr2bl w:val="nil"/>
            </w:tcBorders>
          </w:tcPr>
          <w:p>
            <w:pPr>
              <w:spacing w:line="576" w:lineRule="exact"/>
              <w:ind w:right="206" w:rightChars="98"/>
              <w:jc w:val="left"/>
              <w:rPr>
                <w:rFonts w:ascii="楷体" w:hAnsi="楷体" w:eastAsia="楷体" w:cs="楷体"/>
                <w:bCs/>
                <w:color w:val="FF0000"/>
                <w:sz w:val="28"/>
                <w:szCs w:val="28"/>
              </w:rPr>
            </w:pPr>
            <w:r>
              <w:rPr>
                <w:rFonts w:hint="eastAsia" w:ascii="楷体" w:hAnsi="楷体" w:eastAsia="楷体" w:cs="楷体"/>
                <w:bCs/>
                <w:color w:val="FF0000"/>
                <w:sz w:val="28"/>
                <w:szCs w:val="28"/>
              </w:rPr>
              <w:t>办公室核稿：</w:t>
            </w:r>
          </w:p>
        </w:tc>
      </w:tr>
      <w:tr>
        <w:tblPrEx>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108" w:type="dxa"/>
            <w:bottom w:w="0" w:type="dxa"/>
            <w:right w:w="108" w:type="dxa"/>
          </w:tblCellMar>
        </w:tblPrEx>
        <w:trPr>
          <w:trHeight w:val="709" w:hRule="atLeast"/>
        </w:trPr>
        <w:tc>
          <w:tcPr>
            <w:tcW w:w="3033" w:type="dxa"/>
            <w:vMerge w:val="restart"/>
            <w:tcBorders>
              <w:tl2br w:val="nil"/>
              <w:tr2bl w:val="nil"/>
            </w:tcBorders>
          </w:tcPr>
          <w:p>
            <w:pPr>
              <w:spacing w:line="576" w:lineRule="exact"/>
              <w:ind w:right="206" w:rightChars="98"/>
              <w:jc w:val="left"/>
              <w:rPr>
                <w:rFonts w:ascii="楷体" w:hAnsi="楷体" w:eastAsia="楷体" w:cs="楷体"/>
                <w:bCs/>
                <w:color w:val="FF0000"/>
                <w:sz w:val="28"/>
                <w:szCs w:val="28"/>
              </w:rPr>
            </w:pPr>
            <w:r>
              <w:rPr>
                <w:rFonts w:hint="eastAsia" w:ascii="楷体" w:hAnsi="楷体" w:eastAsia="楷体" w:cs="楷体"/>
                <w:bCs/>
                <w:color w:val="FF0000"/>
                <w:sz w:val="28"/>
                <w:szCs w:val="28"/>
              </w:rPr>
              <w:t>会签：</w:t>
            </w:r>
          </w:p>
        </w:tc>
        <w:tc>
          <w:tcPr>
            <w:tcW w:w="5757" w:type="dxa"/>
            <w:gridSpan w:val="4"/>
            <w:tcBorders>
              <w:tl2br w:val="nil"/>
              <w:tr2bl w:val="nil"/>
            </w:tcBorders>
            <w:vAlign w:val="center"/>
          </w:tcPr>
          <w:p>
            <w:pPr>
              <w:spacing w:line="576" w:lineRule="exact"/>
              <w:ind w:right="206" w:rightChars="98"/>
              <w:jc w:val="left"/>
              <w:rPr>
                <w:rFonts w:ascii="楷体" w:hAnsi="楷体" w:eastAsia="楷体" w:cs="楷体"/>
                <w:bCs/>
                <w:color w:val="FF0000"/>
                <w:sz w:val="28"/>
                <w:szCs w:val="28"/>
              </w:rPr>
            </w:pPr>
            <w:r>
              <w:rPr>
                <w:rFonts w:hint="eastAsia" w:ascii="楷体" w:hAnsi="楷体" w:eastAsia="楷体" w:cs="楷体"/>
                <w:bCs/>
                <w:color w:val="FF0000"/>
                <w:sz w:val="28"/>
                <w:szCs w:val="28"/>
              </w:rPr>
              <w:t>拟稿单位负责人审核：王青</w:t>
            </w:r>
          </w:p>
        </w:tc>
      </w:tr>
      <w:tr>
        <w:tblPrEx>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108" w:type="dxa"/>
            <w:bottom w:w="0" w:type="dxa"/>
            <w:right w:w="108" w:type="dxa"/>
          </w:tblCellMar>
        </w:tblPrEx>
        <w:trPr>
          <w:trHeight w:val="709" w:hRule="atLeast"/>
        </w:trPr>
        <w:tc>
          <w:tcPr>
            <w:tcW w:w="3033" w:type="dxa"/>
            <w:vMerge w:val="continue"/>
            <w:tcBorders>
              <w:tl2br w:val="nil"/>
              <w:tr2bl w:val="nil"/>
            </w:tcBorders>
          </w:tcPr>
          <w:p>
            <w:pPr>
              <w:spacing w:line="576" w:lineRule="exact"/>
              <w:ind w:right="206" w:rightChars="98"/>
              <w:jc w:val="left"/>
              <w:rPr>
                <w:rFonts w:ascii="楷体" w:hAnsi="楷体" w:eastAsia="楷体" w:cs="楷体"/>
                <w:bCs/>
                <w:color w:val="FF0000"/>
                <w:sz w:val="28"/>
                <w:szCs w:val="28"/>
              </w:rPr>
            </w:pPr>
          </w:p>
        </w:tc>
        <w:tc>
          <w:tcPr>
            <w:tcW w:w="5757" w:type="dxa"/>
            <w:gridSpan w:val="4"/>
            <w:tcBorders>
              <w:tl2br w:val="nil"/>
              <w:tr2bl w:val="nil"/>
            </w:tcBorders>
            <w:vAlign w:val="center"/>
          </w:tcPr>
          <w:p>
            <w:pPr>
              <w:spacing w:line="576" w:lineRule="exact"/>
              <w:ind w:right="206" w:rightChars="98"/>
              <w:jc w:val="left"/>
              <w:rPr>
                <w:rFonts w:ascii="楷体" w:hAnsi="楷体" w:eastAsia="楷体" w:cs="楷体"/>
                <w:bCs/>
                <w:color w:val="FF0000"/>
                <w:sz w:val="28"/>
                <w:szCs w:val="28"/>
              </w:rPr>
            </w:pPr>
            <w:r>
              <w:rPr>
                <w:rFonts w:hint="eastAsia" w:ascii="楷体" w:hAnsi="楷体" w:eastAsia="楷体" w:cs="楷体"/>
                <w:bCs/>
                <w:color w:val="FF0000"/>
                <w:sz w:val="28"/>
                <w:szCs w:val="28"/>
              </w:rPr>
              <w:t>拟稿单位：</w:t>
            </w:r>
            <w:r>
              <w:rPr>
                <w:rFonts w:hint="eastAsia" w:ascii="楷体" w:hAnsi="楷体" w:eastAsia="楷体" w:cs="楷体"/>
                <w:bCs/>
                <w:sz w:val="28"/>
                <w:szCs w:val="28"/>
              </w:rPr>
              <w:t>党委工作部</w:t>
            </w:r>
          </w:p>
        </w:tc>
      </w:tr>
      <w:tr>
        <w:tblPrEx>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108" w:type="dxa"/>
            <w:bottom w:w="0" w:type="dxa"/>
            <w:right w:w="108" w:type="dxa"/>
          </w:tblCellMar>
        </w:tblPrEx>
        <w:trPr>
          <w:trHeight w:val="709" w:hRule="atLeast"/>
        </w:trPr>
        <w:tc>
          <w:tcPr>
            <w:tcW w:w="3033" w:type="dxa"/>
            <w:vMerge w:val="restart"/>
            <w:tcBorders>
              <w:tl2br w:val="nil"/>
              <w:tr2bl w:val="nil"/>
            </w:tcBorders>
          </w:tcPr>
          <w:p>
            <w:pPr>
              <w:spacing w:line="576" w:lineRule="exact"/>
              <w:ind w:right="206" w:rightChars="98"/>
              <w:jc w:val="left"/>
              <w:rPr>
                <w:rFonts w:ascii="楷体" w:hAnsi="楷体" w:eastAsia="楷体" w:cs="楷体"/>
                <w:bCs/>
                <w:color w:val="FF0000"/>
                <w:sz w:val="28"/>
                <w:szCs w:val="28"/>
              </w:rPr>
            </w:pPr>
            <w:r>
              <w:rPr>
                <w:rFonts w:hint="eastAsia" w:ascii="楷体" w:hAnsi="楷体" w:eastAsia="楷体" w:cs="楷体"/>
                <w:bCs/>
                <w:color w:val="FF0000"/>
                <w:sz w:val="28"/>
                <w:szCs w:val="28"/>
              </w:rPr>
              <w:t>分管领导：</w:t>
            </w:r>
          </w:p>
        </w:tc>
        <w:tc>
          <w:tcPr>
            <w:tcW w:w="5757" w:type="dxa"/>
            <w:gridSpan w:val="4"/>
            <w:tcBorders>
              <w:tl2br w:val="nil"/>
              <w:tr2bl w:val="nil"/>
            </w:tcBorders>
            <w:vAlign w:val="center"/>
          </w:tcPr>
          <w:p>
            <w:pPr>
              <w:spacing w:line="576" w:lineRule="exact"/>
              <w:ind w:right="206" w:rightChars="98"/>
              <w:jc w:val="left"/>
              <w:rPr>
                <w:rFonts w:ascii="楷体" w:hAnsi="楷体" w:eastAsia="楷体" w:cs="楷体"/>
                <w:bCs/>
                <w:color w:val="FF0000"/>
                <w:sz w:val="28"/>
                <w:szCs w:val="28"/>
              </w:rPr>
            </w:pPr>
            <w:r>
              <w:rPr>
                <w:rFonts w:hint="eastAsia" w:ascii="楷体" w:hAnsi="楷体" w:eastAsia="楷体" w:cs="楷体"/>
                <w:bCs/>
                <w:color w:val="FF0000"/>
                <w:sz w:val="28"/>
                <w:szCs w:val="28"/>
              </w:rPr>
              <w:t>拟稿人：赵竟硕</w:t>
            </w:r>
          </w:p>
        </w:tc>
      </w:tr>
      <w:tr>
        <w:tblPrEx>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108" w:type="dxa"/>
            <w:bottom w:w="0" w:type="dxa"/>
            <w:right w:w="108" w:type="dxa"/>
          </w:tblCellMar>
        </w:tblPrEx>
        <w:trPr>
          <w:trHeight w:val="709" w:hRule="atLeast"/>
        </w:trPr>
        <w:tc>
          <w:tcPr>
            <w:tcW w:w="3033" w:type="dxa"/>
            <w:vMerge w:val="continue"/>
            <w:tcBorders>
              <w:tl2br w:val="nil"/>
              <w:tr2bl w:val="nil"/>
            </w:tcBorders>
          </w:tcPr>
          <w:p>
            <w:pPr>
              <w:spacing w:line="576" w:lineRule="exact"/>
              <w:ind w:right="206" w:rightChars="98"/>
              <w:jc w:val="left"/>
              <w:rPr>
                <w:rFonts w:ascii="楷体" w:hAnsi="楷体" w:eastAsia="楷体" w:cs="楷体"/>
                <w:bCs/>
                <w:color w:val="FF0000"/>
                <w:sz w:val="28"/>
                <w:szCs w:val="28"/>
              </w:rPr>
            </w:pPr>
          </w:p>
        </w:tc>
        <w:tc>
          <w:tcPr>
            <w:tcW w:w="1432" w:type="dxa"/>
            <w:tcBorders>
              <w:tl2br w:val="nil"/>
              <w:tr2bl w:val="nil"/>
            </w:tcBorders>
            <w:vAlign w:val="center"/>
          </w:tcPr>
          <w:p>
            <w:pPr>
              <w:spacing w:line="576" w:lineRule="exact"/>
              <w:ind w:right="206" w:rightChars="98"/>
              <w:jc w:val="center"/>
              <w:rPr>
                <w:rFonts w:ascii="楷体" w:hAnsi="楷体" w:eastAsia="楷体" w:cs="楷体"/>
                <w:bCs/>
                <w:color w:val="FF0000"/>
                <w:sz w:val="28"/>
                <w:szCs w:val="28"/>
              </w:rPr>
            </w:pPr>
            <w:r>
              <w:rPr>
                <w:rFonts w:hint="eastAsia" w:ascii="楷体" w:hAnsi="楷体" w:eastAsia="楷体" w:cs="楷体"/>
                <w:bCs/>
                <w:color w:val="FF0000"/>
                <w:sz w:val="28"/>
                <w:szCs w:val="28"/>
              </w:rPr>
              <w:t>密  级</w:t>
            </w:r>
          </w:p>
        </w:tc>
        <w:tc>
          <w:tcPr>
            <w:tcW w:w="1375" w:type="dxa"/>
            <w:tcBorders>
              <w:tl2br w:val="nil"/>
              <w:tr2bl w:val="nil"/>
            </w:tcBorders>
            <w:vAlign w:val="center"/>
          </w:tcPr>
          <w:p>
            <w:pPr>
              <w:spacing w:line="576" w:lineRule="exact"/>
              <w:ind w:right="206" w:rightChars="98"/>
              <w:jc w:val="center"/>
              <w:rPr>
                <w:rFonts w:ascii="楷体" w:hAnsi="楷体" w:eastAsia="楷体" w:cs="楷体"/>
                <w:bCs/>
                <w:color w:val="FF0000"/>
                <w:sz w:val="28"/>
                <w:szCs w:val="28"/>
              </w:rPr>
            </w:pPr>
          </w:p>
        </w:tc>
        <w:tc>
          <w:tcPr>
            <w:tcW w:w="1543" w:type="dxa"/>
            <w:tcBorders>
              <w:tl2br w:val="nil"/>
              <w:tr2bl w:val="nil"/>
            </w:tcBorders>
            <w:vAlign w:val="center"/>
          </w:tcPr>
          <w:p>
            <w:pPr>
              <w:spacing w:line="576" w:lineRule="exact"/>
              <w:ind w:right="206" w:rightChars="98"/>
              <w:jc w:val="center"/>
              <w:rPr>
                <w:rFonts w:ascii="楷体" w:hAnsi="楷体" w:eastAsia="楷体" w:cs="楷体"/>
                <w:bCs/>
                <w:color w:val="FF0000"/>
                <w:sz w:val="28"/>
                <w:szCs w:val="28"/>
              </w:rPr>
            </w:pPr>
            <w:r>
              <w:rPr>
                <w:rFonts w:hint="eastAsia" w:ascii="楷体" w:hAnsi="楷体" w:eastAsia="楷体" w:cs="楷体"/>
                <w:bCs/>
                <w:color w:val="FF0000"/>
                <w:sz w:val="28"/>
                <w:szCs w:val="28"/>
              </w:rPr>
              <w:t>缓急程度</w:t>
            </w:r>
          </w:p>
        </w:tc>
        <w:tc>
          <w:tcPr>
            <w:tcW w:w="1407" w:type="dxa"/>
            <w:tcBorders>
              <w:tl2br w:val="nil"/>
              <w:tr2bl w:val="nil"/>
            </w:tcBorders>
            <w:vAlign w:val="center"/>
          </w:tcPr>
          <w:p>
            <w:pPr>
              <w:spacing w:line="576" w:lineRule="exact"/>
              <w:ind w:right="206" w:rightChars="98"/>
              <w:jc w:val="center"/>
              <w:rPr>
                <w:rFonts w:ascii="楷体" w:hAnsi="楷体" w:eastAsia="楷体" w:cs="楷体"/>
                <w:bCs/>
                <w:color w:val="FF0000"/>
                <w:sz w:val="28"/>
                <w:szCs w:val="28"/>
              </w:rPr>
            </w:pPr>
          </w:p>
        </w:tc>
      </w:tr>
    </w:tbl>
    <w:p>
      <w:pPr>
        <w:spacing w:line="360" w:lineRule="exact"/>
        <w:ind w:firstLine="110" w:firstLineChars="100"/>
        <w:rPr>
          <w:rFonts w:ascii="楷体" w:hAnsi="楷体" w:eastAsia="楷体" w:cs="楷体"/>
          <w:color w:val="FF0000"/>
          <w:sz w:val="11"/>
          <w:szCs w:val="11"/>
        </w:rPr>
      </w:pPr>
    </w:p>
    <w:p>
      <w:pPr>
        <w:spacing w:line="360" w:lineRule="exact"/>
        <w:ind w:firstLine="280" w:firstLineChars="100"/>
        <w:rPr>
          <w:rFonts w:ascii="仿宋" w:hAnsi="仿宋" w:eastAsia="仿宋" w:cs="仿宋"/>
          <w:color w:val="FF0000"/>
          <w:sz w:val="28"/>
          <w:szCs w:val="28"/>
        </w:rPr>
      </w:pPr>
      <w:r>
        <w:rPr>
          <w:rFonts w:hint="eastAsia" w:ascii="楷体" w:hAnsi="楷体" w:eastAsia="楷体" w:cs="楷体"/>
          <w:color w:val="FF0000"/>
          <w:sz w:val="28"/>
          <w:szCs w:val="28"/>
        </w:rPr>
        <w:t xml:space="preserve">发文：陕林集团     〔    〕  号          年   月   日封发 </w:t>
      </w:r>
      <w:r>
        <w:rPr>
          <w:rFonts w:hint="eastAsia" w:ascii="仿宋" w:hAnsi="仿宋" w:eastAsia="仿宋" w:cs="仿宋"/>
          <w:color w:val="FF0000"/>
          <w:sz w:val="28"/>
          <w:szCs w:val="28"/>
        </w:rPr>
        <w:t xml:space="preserve"> </w:t>
      </w:r>
    </w:p>
    <w:p>
      <w:pPr>
        <w:spacing w:line="360" w:lineRule="exact"/>
        <w:rPr>
          <w:rFonts w:ascii="楷体_GB2312" w:eastAsia="楷体_GB2312"/>
          <w:color w:val="FF0000"/>
          <w:sz w:val="52"/>
          <w:szCs w:val="52"/>
        </w:rPr>
      </w:pPr>
      <w:r>
        <w:rPr>
          <w:rFonts w:hint="eastAsia" w:ascii="仿宋" w:hAnsi="仿宋" w:eastAsia="仿宋" w:cs="仿宋"/>
          <w:color w:val="FF0000"/>
          <w:sz w:val="52"/>
          <w:szCs w:val="52"/>
          <w:u w:val="thick"/>
        </w:rPr>
        <w:t xml:space="preserve">                                                           </w:t>
      </w:r>
      <w:r>
        <w:rPr>
          <w:rFonts w:hint="eastAsia" w:ascii="楷体_GB2312" w:eastAsia="楷体_GB2312"/>
          <w:color w:val="FF0000"/>
          <w:sz w:val="52"/>
          <w:szCs w:val="52"/>
        </w:rPr>
        <w:t xml:space="preserve">     </w:t>
      </w:r>
    </w:p>
    <w:p>
      <w:pPr>
        <w:spacing w:line="580" w:lineRule="exact"/>
        <w:rPr>
          <w:rFonts w:ascii="华文中宋" w:hAnsi="华文中宋" w:eastAsia="华文中宋" w:cs="华文中宋"/>
          <w:sz w:val="44"/>
          <w:szCs w:val="44"/>
        </w:rPr>
      </w:pPr>
    </w:p>
    <w:p>
      <w:pPr>
        <w:spacing w:line="576" w:lineRule="exact"/>
        <w:ind w:firstLine="880" w:firstLineChars="20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中共陕西林业集团有限公司委员会</w:t>
      </w:r>
    </w:p>
    <w:p>
      <w:pPr>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关于《习近平关于社会主义精神文明建设论述摘编》学习宣传工作情况的报告</w:t>
      </w:r>
    </w:p>
    <w:p>
      <w:pPr>
        <w:pStyle w:val="7"/>
        <w:spacing w:line="576" w:lineRule="exact"/>
        <w:rPr>
          <w:rFonts w:hint="eastAsia" w:ascii="仿宋_GB2312" w:hAnsi="仿宋" w:eastAsia="仿宋_GB2312" w:cs="仿宋"/>
          <w:sz w:val="32"/>
          <w:szCs w:val="32"/>
        </w:rPr>
      </w:pPr>
    </w:p>
    <w:p>
      <w:pPr>
        <w:pStyle w:val="7"/>
        <w:spacing w:line="576" w:lineRule="exact"/>
        <w:rPr>
          <w:rFonts w:ascii="仿宋_GB2312" w:hAnsi="仿宋" w:eastAsia="仿宋_GB2312" w:cs="仿宋"/>
          <w:sz w:val="32"/>
          <w:szCs w:val="32"/>
        </w:rPr>
      </w:pPr>
      <w:r>
        <w:rPr>
          <w:rFonts w:hint="eastAsia" w:ascii="仿宋_GB2312" w:hAnsi="仿宋" w:eastAsia="仿宋_GB2312" w:cs="仿宋"/>
          <w:sz w:val="32"/>
          <w:szCs w:val="32"/>
        </w:rPr>
        <w:t>省国资委党委：</w:t>
      </w:r>
    </w:p>
    <w:p>
      <w:pPr>
        <w:pStyle w:val="2"/>
        <w:widowControl/>
        <w:spacing w:beforeAutospacing="0" w:afterAutospacing="0" w:line="576" w:lineRule="exact"/>
        <w:ind w:firstLine="640" w:firstLineChars="200"/>
        <w:jc w:val="both"/>
        <w:rPr>
          <w:rFonts w:ascii="仿宋_GB2312" w:hAnsi="仿宋" w:eastAsia="仿宋_GB2312" w:cs="仿宋"/>
          <w:kern w:val="2"/>
          <w:sz w:val="32"/>
          <w:szCs w:val="32"/>
        </w:rPr>
      </w:pPr>
      <w:r>
        <w:rPr>
          <w:rFonts w:hint="eastAsia" w:ascii="仿宋_GB2312" w:hAnsi="仿宋" w:eastAsia="仿宋_GB2312" w:cs="仿宋"/>
          <w:kern w:val="2"/>
          <w:sz w:val="32"/>
          <w:szCs w:val="32"/>
        </w:rPr>
        <w:t>根据省国资委党委《关于转发中共陕西省委文明办</w:t>
      </w:r>
      <w:r>
        <w:rPr>
          <w:rFonts w:hint="eastAsia" w:ascii="仿宋_GB2312" w:hAnsi="仿宋" w:eastAsia="仿宋_GB2312" w:cs="仿宋"/>
          <w:kern w:val="2"/>
          <w:sz w:val="32"/>
          <w:szCs w:val="32"/>
          <w:lang w:val="en-US" w:eastAsia="zh-CN"/>
        </w:rPr>
        <w:t>&lt;</w:t>
      </w:r>
      <w:r>
        <w:rPr>
          <w:rFonts w:hint="eastAsia" w:ascii="仿宋_GB2312" w:hAnsi="仿宋" w:eastAsia="仿宋_GB2312" w:cs="仿宋"/>
          <w:kern w:val="2"/>
          <w:sz w:val="32"/>
          <w:szCs w:val="32"/>
        </w:rPr>
        <w:t>关于认真组织学习</w:t>
      </w:r>
      <w:r>
        <w:rPr>
          <w:rFonts w:hint="eastAsia" w:ascii="仿宋_GB2312" w:hAnsi="仿宋" w:eastAsia="仿宋_GB2312" w:cs="仿宋"/>
          <w:kern w:val="2"/>
          <w:sz w:val="32"/>
          <w:szCs w:val="32"/>
          <w:lang w:eastAsia="zh-CN"/>
        </w:rPr>
        <w:t>《</w:t>
      </w:r>
      <w:r>
        <w:rPr>
          <w:rFonts w:hint="eastAsia" w:ascii="仿宋_GB2312" w:hAnsi="仿宋" w:eastAsia="仿宋_GB2312" w:cs="仿宋"/>
          <w:kern w:val="2"/>
          <w:sz w:val="32"/>
          <w:szCs w:val="32"/>
        </w:rPr>
        <w:t>习近平关于社会主义精神文明建设论述摘编</w:t>
      </w:r>
      <w:r>
        <w:rPr>
          <w:rFonts w:hint="eastAsia" w:ascii="仿宋_GB2312" w:hAnsi="仿宋" w:eastAsia="仿宋_GB2312" w:cs="仿宋"/>
          <w:kern w:val="2"/>
          <w:sz w:val="32"/>
          <w:szCs w:val="32"/>
          <w:lang w:eastAsia="zh-CN"/>
        </w:rPr>
        <w:t>》</w:t>
      </w:r>
      <w:r>
        <w:rPr>
          <w:rFonts w:hint="eastAsia" w:ascii="仿宋_GB2312" w:hAnsi="仿宋" w:eastAsia="仿宋_GB2312" w:cs="仿宋"/>
          <w:kern w:val="2"/>
          <w:sz w:val="32"/>
          <w:szCs w:val="32"/>
        </w:rPr>
        <w:t>的通知</w:t>
      </w:r>
      <w:r>
        <w:rPr>
          <w:rFonts w:hint="eastAsia" w:ascii="仿宋_GB2312" w:hAnsi="仿宋" w:eastAsia="仿宋_GB2312" w:cs="仿宋"/>
          <w:kern w:val="2"/>
          <w:sz w:val="32"/>
          <w:szCs w:val="32"/>
          <w:lang w:val="en-US" w:eastAsia="zh-CN"/>
        </w:rPr>
        <w:t>&gt;</w:t>
      </w:r>
      <w:r>
        <w:rPr>
          <w:rFonts w:hint="eastAsia" w:ascii="仿宋_GB2312" w:hAnsi="仿宋" w:eastAsia="仿宋_GB2312" w:cs="仿宋"/>
          <w:kern w:val="2"/>
          <w:sz w:val="32"/>
          <w:szCs w:val="32"/>
        </w:rPr>
        <w:t>的通知》要求，陕西林业集团扎实推进学习宣贯工作，现将有关情况报告如下：</w:t>
      </w:r>
    </w:p>
    <w:p>
      <w:pPr>
        <w:spacing w:line="576" w:lineRule="exact"/>
        <w:ind w:firstLine="640" w:firstLineChars="200"/>
        <w:rPr>
          <w:rFonts w:hint="eastAsia" w:ascii="楷体" w:hAnsi="楷体" w:eastAsia="楷体" w:cs="仿宋_GB2312"/>
          <w:color w:val="000000" w:themeColor="text1"/>
          <w:sz w:val="32"/>
          <w:szCs w:val="32"/>
          <w:lang w:val="en-US" w:eastAsia="zh-CN"/>
          <w14:textFill>
            <w14:solidFill>
              <w14:schemeClr w14:val="tx1"/>
            </w14:solidFill>
          </w14:textFill>
        </w:rPr>
      </w:pPr>
      <w:r>
        <w:rPr>
          <w:rFonts w:hint="eastAsia" w:ascii="楷体" w:hAnsi="楷体" w:eastAsia="楷体" w:cs="仿宋_GB2312"/>
          <w:color w:val="000000" w:themeColor="text1"/>
          <w:sz w:val="32"/>
          <w:szCs w:val="32"/>
          <w:lang w:val="en-US" w:eastAsia="zh-CN"/>
          <w14:textFill>
            <w14:solidFill>
              <w14:schemeClr w14:val="tx1"/>
            </w14:solidFill>
          </w14:textFill>
        </w:rPr>
        <w:t>（一）提高政治站位，加强组织领导</w:t>
      </w:r>
    </w:p>
    <w:p>
      <w:pPr>
        <w:pStyle w:val="2"/>
        <w:widowControl/>
        <w:spacing w:beforeAutospacing="0" w:afterAutospacing="0" w:line="576" w:lineRule="exact"/>
        <w:ind w:firstLine="640"/>
        <w:jc w:val="both"/>
        <w:rPr>
          <w:rFonts w:ascii="仿宋" w:hAnsi="仿宋" w:eastAsia="仿宋"/>
          <w:b/>
          <w:bCs/>
          <w:color w:val="000000" w:themeColor="text1"/>
          <w:sz w:val="32"/>
          <w:szCs w:val="32"/>
          <w14:textFill>
            <w14:solidFill>
              <w14:schemeClr w14:val="tx1"/>
            </w14:solidFill>
          </w14:textFill>
        </w:rPr>
      </w:pPr>
      <w:r>
        <w:rPr>
          <w:rFonts w:hint="eastAsia" w:ascii="仿宋_GB2312" w:hAnsi="仿宋" w:eastAsia="仿宋_GB2312" w:cs="仿宋"/>
          <w:kern w:val="2"/>
          <w:sz w:val="32"/>
          <w:szCs w:val="32"/>
          <w:lang w:val="en-US" w:eastAsia="zh-CN" w:bidi="ar-SA"/>
        </w:rPr>
        <w:t>林业集团党委按照省文明办、省国资委党委的要求，</w:t>
      </w:r>
      <w:r>
        <w:rPr>
          <w:rFonts w:hint="eastAsia" w:ascii="仿宋_GB2312" w:hAnsi="仿宋" w:eastAsia="仿宋_GB2312" w:cs="仿宋"/>
          <w:kern w:val="2"/>
          <w:sz w:val="32"/>
          <w:szCs w:val="32"/>
          <w:lang w:val="en-US" w:eastAsia="zh-CN" w:bidi="ar-SA"/>
        </w:rPr>
        <w:t>把认真组织学习</w:t>
      </w:r>
      <w:r>
        <w:rPr>
          <w:rFonts w:hint="eastAsia" w:ascii="仿宋_GB2312" w:hAnsi="仿宋" w:eastAsia="仿宋_GB2312" w:cs="仿宋"/>
          <w:kern w:val="2"/>
          <w:sz w:val="32"/>
          <w:szCs w:val="32"/>
          <w:lang w:val="en-US" w:eastAsia="zh-CN" w:bidi="ar-SA"/>
        </w:rPr>
        <w:t>《论述摘编》</w:t>
      </w:r>
      <w:r>
        <w:rPr>
          <w:rFonts w:hint="eastAsia" w:ascii="仿宋_GB2312" w:hAnsi="仿宋" w:eastAsia="仿宋_GB2312" w:cs="仿宋"/>
          <w:kern w:val="2"/>
          <w:sz w:val="32"/>
          <w:szCs w:val="32"/>
          <w:lang w:val="en-US" w:eastAsia="zh-CN" w:bidi="ar-SA"/>
        </w:rPr>
        <w:t>工作</w:t>
      </w:r>
      <w:r>
        <w:rPr>
          <w:rFonts w:hint="eastAsia" w:ascii="仿宋_GB2312" w:hAnsi="仿宋" w:eastAsia="仿宋_GB2312" w:cs="仿宋"/>
          <w:kern w:val="2"/>
          <w:sz w:val="32"/>
          <w:szCs w:val="32"/>
          <w:lang w:val="en-US" w:eastAsia="zh-CN" w:bidi="ar-SA"/>
        </w:rPr>
        <w:t>作为落实意识形态工作责任制的重要内容并摆在重要的位置，高度重视，严格落实，明确工作责任。</w:t>
      </w:r>
      <w:r>
        <w:rPr>
          <w:rFonts w:hint="eastAsia" w:ascii="仿宋_GB2312" w:hAnsi="仿宋" w:eastAsia="仿宋_GB2312" w:cs="仿宋"/>
          <w:kern w:val="2"/>
          <w:sz w:val="32"/>
          <w:szCs w:val="32"/>
          <w:lang w:val="en-US" w:eastAsia="zh-CN" w:bidi="ar-SA"/>
        </w:rPr>
        <w:t>10月中旬，</w:t>
      </w:r>
      <w:r>
        <w:rPr>
          <w:rFonts w:hint="eastAsia" w:ascii="仿宋_GB2312" w:hAnsi="仿宋" w:eastAsia="仿宋_GB2312" w:cs="仿宋"/>
          <w:kern w:val="2"/>
          <w:sz w:val="32"/>
          <w:szCs w:val="32"/>
          <w:lang w:val="en-US" w:eastAsia="zh-CN" w:bidi="ar-SA"/>
        </w:rPr>
        <w:t>集团党委第一时间转发通知，要求各党支部高度重视</w:t>
      </w:r>
      <w:r>
        <w:rPr>
          <w:rFonts w:hint="eastAsia" w:ascii="仿宋_GB2312" w:hAnsi="仿宋" w:eastAsia="仿宋_GB2312" w:cs="仿宋"/>
          <w:kern w:val="2"/>
          <w:sz w:val="32"/>
          <w:szCs w:val="32"/>
          <w:lang w:val="en-US" w:eastAsia="zh-CN" w:bidi="ar-SA"/>
        </w:rPr>
        <w:t>《论述摘编》</w:t>
      </w:r>
      <w:r>
        <w:rPr>
          <w:rFonts w:hint="eastAsia" w:ascii="仿宋_GB2312" w:hAnsi="仿宋" w:eastAsia="仿宋_GB2312" w:cs="仿宋"/>
          <w:kern w:val="2"/>
          <w:sz w:val="32"/>
          <w:szCs w:val="32"/>
          <w:lang w:val="en-US" w:eastAsia="zh-CN" w:bidi="ar-SA"/>
        </w:rPr>
        <w:t>学习宣传工作，结合实际扎实开展专项工作。并及时采</w:t>
      </w:r>
      <w:r>
        <w:rPr>
          <w:rFonts w:hint="eastAsia" w:ascii="仿宋_GB2312" w:hAnsi="仿宋" w:eastAsia="仿宋_GB2312" w:cs="仿宋"/>
          <w:kern w:val="2"/>
          <w:sz w:val="32"/>
          <w:szCs w:val="32"/>
          <w:lang w:val="en-US" w:eastAsia="zh-CN" w:bidi="ar-SA"/>
        </w:rPr>
        <w:t>购发放《论述摘编》10余本，实现中心组成员和党支部全覆盖，通过党委理论学习中心组“领学促学”，党支部组织生活会“导学督学”，党员干部职工“自学互学”，助推用《论述摘编》培根铸魂、启智润心。集团党委将《论述摘编》作为党员干部、职工群众学习贯彻党的二十大精神，持续深入推进习近平新时代中国特色社会主义思想在集</w:t>
      </w:r>
      <w:r>
        <w:rPr>
          <w:rFonts w:hint="eastAsia" w:ascii="仿宋_GB2312" w:hAnsi="仿宋" w:eastAsia="仿宋_GB2312" w:cs="仿宋"/>
          <w:kern w:val="2"/>
          <w:sz w:val="32"/>
          <w:szCs w:val="32"/>
          <w:lang w:val="en-US" w:eastAsia="zh-CN" w:bidi="ar-SA"/>
        </w:rPr>
        <w:t>团落地生根</w:t>
      </w:r>
      <w:r>
        <w:rPr>
          <w:rFonts w:hint="eastAsia" w:ascii="仿宋_GB2312" w:hAnsi="仿宋" w:eastAsia="仿宋_GB2312" w:cs="仿宋"/>
          <w:kern w:val="2"/>
          <w:sz w:val="32"/>
          <w:szCs w:val="32"/>
          <w:lang w:val="en-US" w:eastAsia="zh-CN" w:bidi="ar-SA"/>
        </w:rPr>
        <w:t>，进一步推动陕林精神文明建设工作高质量发展</w:t>
      </w:r>
      <w:r>
        <w:rPr>
          <w:rFonts w:hint="eastAsia" w:ascii="仿宋_GB2312" w:hAnsi="仿宋" w:eastAsia="仿宋_GB2312" w:cs="仿宋"/>
          <w:kern w:val="2"/>
          <w:sz w:val="32"/>
          <w:szCs w:val="32"/>
          <w:lang w:val="en-US" w:eastAsia="zh-CN" w:bidi="ar-SA"/>
        </w:rPr>
        <w:t>的重要辅导读物</w:t>
      </w:r>
      <w:r>
        <w:rPr>
          <w:rFonts w:hint="eastAsia" w:ascii="仿宋_GB2312" w:hAnsi="仿宋" w:eastAsia="仿宋_GB2312" w:cs="仿宋"/>
          <w:kern w:val="2"/>
          <w:sz w:val="32"/>
          <w:szCs w:val="32"/>
          <w:lang w:val="en-US" w:eastAsia="zh-CN" w:bidi="ar-SA"/>
        </w:rPr>
        <w:t>，</w:t>
      </w:r>
      <w:r>
        <w:rPr>
          <w:rFonts w:hint="eastAsia" w:ascii="仿宋_GB2312" w:hAnsi="仿宋" w:eastAsia="仿宋_GB2312" w:cs="仿宋"/>
          <w:kern w:val="2"/>
          <w:sz w:val="32"/>
          <w:szCs w:val="32"/>
          <w:lang w:val="en-US" w:eastAsia="zh-CN" w:bidi="ar-SA"/>
        </w:rPr>
        <w:t>要求各党支部积极开展多种形式的学习宣传活动，不断切准文明风尚的规律，不断提升精神文明建设的境界，</w:t>
      </w:r>
      <w:r>
        <w:rPr>
          <w:rFonts w:hint="eastAsia" w:ascii="仿宋_GB2312" w:hAnsi="仿宋" w:eastAsia="仿宋_GB2312" w:cs="仿宋"/>
          <w:kern w:val="2"/>
          <w:sz w:val="32"/>
          <w:szCs w:val="32"/>
          <w:lang w:val="en-US" w:eastAsia="zh-CN" w:bidi="ar-SA"/>
        </w:rPr>
        <w:t>为</w:t>
      </w:r>
      <w:r>
        <w:rPr>
          <w:rFonts w:hint="eastAsia" w:ascii="仿宋_GB2312" w:hAnsi="仿宋" w:eastAsia="仿宋_GB2312" w:cs="仿宋"/>
          <w:kern w:val="2"/>
          <w:sz w:val="32"/>
          <w:szCs w:val="32"/>
          <w:lang w:val="en-US" w:eastAsia="zh-CN" w:bidi="ar-SA"/>
        </w:rPr>
        <w:t>持续深化</w:t>
      </w:r>
      <w:r>
        <w:rPr>
          <w:rFonts w:hint="eastAsia" w:ascii="仿宋_GB2312" w:hAnsi="仿宋" w:eastAsia="仿宋_GB2312" w:cs="仿宋"/>
          <w:kern w:val="2"/>
          <w:sz w:val="32"/>
          <w:szCs w:val="32"/>
          <w:lang w:val="en-US" w:eastAsia="zh-CN" w:bidi="ar-SA"/>
        </w:rPr>
        <w:t>集团</w:t>
      </w:r>
      <w:r>
        <w:rPr>
          <w:rFonts w:hint="eastAsia" w:ascii="仿宋_GB2312" w:hAnsi="仿宋" w:eastAsia="仿宋_GB2312" w:cs="仿宋"/>
          <w:kern w:val="2"/>
          <w:sz w:val="32"/>
          <w:szCs w:val="32"/>
          <w:lang w:val="en-US" w:eastAsia="zh-CN" w:bidi="ar-SA"/>
        </w:rPr>
        <w:t>文明创建、文明实践、文明培育</w:t>
      </w:r>
      <w:r>
        <w:rPr>
          <w:rFonts w:hint="eastAsia" w:ascii="仿宋_GB2312" w:hAnsi="仿宋" w:eastAsia="仿宋_GB2312" w:cs="仿宋"/>
          <w:kern w:val="2"/>
          <w:sz w:val="32"/>
          <w:szCs w:val="32"/>
          <w:lang w:val="en-US" w:eastAsia="zh-CN" w:bidi="ar-SA"/>
        </w:rPr>
        <w:t>提供</w:t>
      </w:r>
      <w:r>
        <w:rPr>
          <w:rFonts w:hint="eastAsia" w:ascii="仿宋_GB2312" w:hAnsi="仿宋" w:eastAsia="仿宋_GB2312" w:cs="仿宋"/>
          <w:kern w:val="2"/>
          <w:sz w:val="32"/>
          <w:szCs w:val="32"/>
          <w:lang w:val="en-US" w:eastAsia="zh-CN" w:bidi="ar-SA"/>
        </w:rPr>
        <w:t>丰润道德滋养和良好文化</w:t>
      </w:r>
      <w:r>
        <w:rPr>
          <w:rFonts w:hint="eastAsia" w:ascii="仿宋_GB2312" w:hAnsi="仿宋" w:eastAsia="仿宋_GB2312" w:cs="仿宋"/>
          <w:kern w:val="2"/>
          <w:sz w:val="32"/>
          <w:szCs w:val="32"/>
          <w:lang w:val="en-US" w:eastAsia="zh-CN" w:bidi="ar-SA"/>
        </w:rPr>
        <w:t>支撑，</w:t>
      </w:r>
      <w:r>
        <w:rPr>
          <w:rFonts w:hint="eastAsia" w:ascii="仿宋_GB2312" w:hAnsi="仿宋" w:eastAsia="仿宋_GB2312" w:cs="仿宋"/>
          <w:kern w:val="2"/>
          <w:sz w:val="32"/>
          <w:szCs w:val="32"/>
          <w:lang w:val="en-US" w:eastAsia="zh-CN" w:bidi="ar-SA"/>
        </w:rPr>
        <w:t>为集团干部职工</w:t>
      </w:r>
      <w:r>
        <w:rPr>
          <w:rFonts w:hint="eastAsia" w:ascii="仿宋_GB2312" w:hAnsi="仿宋" w:eastAsia="仿宋_GB2312" w:cs="仿宋"/>
          <w:kern w:val="2"/>
          <w:sz w:val="32"/>
          <w:szCs w:val="32"/>
          <w:lang w:val="en-US" w:eastAsia="zh-CN" w:bidi="ar-SA"/>
        </w:rPr>
        <w:t>奋进新征程、建功新时代提供坚强思想保证</w:t>
      </w:r>
      <w:r>
        <w:rPr>
          <w:rFonts w:hint="eastAsia" w:ascii="仿宋_GB2312" w:hAnsi="仿宋" w:eastAsia="仿宋_GB2312" w:cs="仿宋"/>
          <w:kern w:val="2"/>
          <w:sz w:val="32"/>
          <w:szCs w:val="32"/>
          <w:lang w:val="en-US" w:eastAsia="zh-CN" w:bidi="ar-SA"/>
        </w:rPr>
        <w:t>和</w:t>
      </w:r>
      <w:r>
        <w:rPr>
          <w:rFonts w:hint="eastAsia" w:ascii="仿宋_GB2312" w:hAnsi="仿宋" w:eastAsia="仿宋_GB2312" w:cs="仿宋"/>
          <w:kern w:val="2"/>
          <w:sz w:val="32"/>
          <w:szCs w:val="32"/>
          <w:lang w:val="en-US" w:eastAsia="zh-CN" w:bidi="ar-SA"/>
        </w:rPr>
        <w:t>强大精神动力。</w:t>
      </w:r>
    </w:p>
    <w:p>
      <w:pPr>
        <w:spacing w:line="576" w:lineRule="exact"/>
        <w:ind w:firstLine="640" w:firstLineChars="200"/>
        <w:rPr>
          <w:rFonts w:hint="eastAsia" w:ascii="楷体" w:hAnsi="楷体" w:eastAsia="楷体"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lang w:eastAsia="zh-CN"/>
          <w14:textFill>
            <w14:solidFill>
              <w14:schemeClr w14:val="tx1"/>
            </w14:solidFill>
          </w14:textFill>
        </w:rPr>
        <w:t>（</w:t>
      </w:r>
      <w:r>
        <w:rPr>
          <w:rFonts w:hint="eastAsia" w:ascii="楷体" w:hAnsi="楷体" w:eastAsia="楷体" w:cs="仿宋_GB2312"/>
          <w:color w:val="000000" w:themeColor="text1"/>
          <w:sz w:val="32"/>
          <w:szCs w:val="32"/>
          <w:lang w:val="en-US" w:eastAsia="zh-CN"/>
          <w14:textFill>
            <w14:solidFill>
              <w14:schemeClr w14:val="tx1"/>
            </w14:solidFill>
          </w14:textFill>
        </w:rPr>
        <w:t>二</w:t>
      </w:r>
      <w:r>
        <w:rPr>
          <w:rFonts w:hint="eastAsia" w:ascii="楷体" w:hAnsi="楷体" w:eastAsia="楷体" w:cs="仿宋_GB2312"/>
          <w:color w:val="000000" w:themeColor="text1"/>
          <w:sz w:val="32"/>
          <w:szCs w:val="32"/>
          <w:lang w:eastAsia="zh-CN"/>
          <w14:textFill>
            <w14:solidFill>
              <w14:schemeClr w14:val="tx1"/>
            </w14:solidFill>
          </w14:textFill>
        </w:rPr>
        <w:t>）</w:t>
      </w:r>
      <w:r>
        <w:rPr>
          <w:rFonts w:hint="eastAsia" w:ascii="楷体" w:hAnsi="楷体" w:eastAsia="楷体" w:cs="仿宋_GB2312"/>
          <w:color w:val="000000" w:themeColor="text1"/>
          <w:sz w:val="32"/>
          <w:szCs w:val="32"/>
          <w14:textFill>
            <w14:solidFill>
              <w14:schemeClr w14:val="tx1"/>
            </w14:solidFill>
          </w14:textFill>
        </w:rPr>
        <w:t>注重宣传引导，营造良好氛围</w:t>
      </w:r>
    </w:p>
    <w:p>
      <w:pPr>
        <w:numPr>
          <w:ilvl w:val="0"/>
          <w:numId w:val="0"/>
        </w:numPr>
        <w:spacing w:line="576" w:lineRule="exact"/>
        <w:ind w:firstLine="640" w:firstLineChars="200"/>
        <w:rPr>
          <w:rFonts w:hint="default"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林业集团党委坚持学习好、宣传好、贯彻好《论述摘编》，在集团系统</w:t>
      </w:r>
      <w:r>
        <w:rPr>
          <w:rFonts w:hint="eastAsia" w:ascii="仿宋_GB2312" w:hAnsi="仿宋" w:eastAsia="仿宋_GB2312" w:cs="仿宋"/>
          <w:kern w:val="2"/>
          <w:sz w:val="32"/>
          <w:szCs w:val="32"/>
          <w:lang w:val="en-US" w:eastAsia="zh-CN" w:bidi="ar-SA"/>
        </w:rPr>
        <w:t>内加大正面宣传和舆论引导，广泛运用“线上+线下”的形式同步推进《论述摘编》学习宣传贯彻工作，为干部职工学习“充电”，使党员干部全面系统、深入学习领会习近平总书记关于社会主义精神文明建设重要论述的核心要义、精神实质、丰富内涵和实践要求。集团拓宽学习教育渠道，线上以“学习强国”APP为载体、以集团网站、微信公号为抓手推广本书相关内容，线下迅速制作宣传橱窗，并开展先进典型选树、“文明微朗读”、“讲文明，树新风”等活动，引导干部职工将学习《论述摘编》与学习党的二十大精神有机结合、融会贯通，助力广大干部职工把《论述摘编》的学习成效转化为推进社会主义精神文明建设的生动实践。集团网评员马文婧在深入学习后表示，《论述摘编》内涵丰富、高屋建瓴，与党的二十大报告第八部分“推进文化自信自强，铸就社会主义文化新辉煌”一脉相承，我们要深入学习领会，认真抓好贯彻落实，在《论述摘编》的宣贯过程中发挥正向带动作用。</w:t>
      </w:r>
    </w:p>
    <w:p>
      <w:pPr>
        <w:spacing w:line="576" w:lineRule="exact"/>
        <w:ind w:firstLine="640" w:firstLineChars="200"/>
        <w:rPr>
          <w:rFonts w:hint="eastAsia" w:ascii="楷体" w:hAnsi="楷体" w:eastAsia="楷体"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lang w:eastAsia="zh-CN"/>
          <w14:textFill>
            <w14:solidFill>
              <w14:schemeClr w14:val="tx1"/>
            </w14:solidFill>
          </w14:textFill>
        </w:rPr>
        <w:t>（</w:t>
      </w:r>
      <w:r>
        <w:rPr>
          <w:rFonts w:hint="eastAsia" w:ascii="楷体" w:hAnsi="楷体" w:eastAsia="楷体" w:cs="仿宋_GB2312"/>
          <w:color w:val="000000" w:themeColor="text1"/>
          <w:sz w:val="32"/>
          <w:szCs w:val="32"/>
          <w:lang w:val="en-US" w:eastAsia="zh-CN"/>
          <w14:textFill>
            <w14:solidFill>
              <w14:schemeClr w14:val="tx1"/>
            </w14:solidFill>
          </w14:textFill>
        </w:rPr>
        <w:t>三</w:t>
      </w:r>
      <w:r>
        <w:rPr>
          <w:rFonts w:hint="eastAsia" w:ascii="楷体" w:hAnsi="楷体" w:eastAsia="楷体" w:cs="仿宋_GB2312"/>
          <w:color w:val="000000" w:themeColor="text1"/>
          <w:sz w:val="32"/>
          <w:szCs w:val="32"/>
          <w:lang w:eastAsia="zh-CN"/>
          <w14:textFill>
            <w14:solidFill>
              <w14:schemeClr w14:val="tx1"/>
            </w14:solidFill>
          </w14:textFill>
        </w:rPr>
        <w:t>）</w:t>
      </w:r>
      <w:r>
        <w:rPr>
          <w:rFonts w:hint="eastAsia" w:ascii="楷体" w:hAnsi="楷体" w:eastAsia="楷体" w:cs="仿宋_GB2312"/>
          <w:color w:val="000000" w:themeColor="text1"/>
          <w:sz w:val="32"/>
          <w:szCs w:val="32"/>
          <w:lang w:val="en-US" w:eastAsia="zh-CN"/>
          <w14:textFill>
            <w14:solidFill>
              <w14:schemeClr w14:val="tx1"/>
            </w14:solidFill>
          </w14:textFill>
        </w:rPr>
        <w:t>坚持主动作为</w:t>
      </w:r>
      <w:r>
        <w:rPr>
          <w:rFonts w:hint="eastAsia" w:ascii="楷体" w:hAnsi="楷体" w:eastAsia="楷体" w:cs="仿宋_GB2312"/>
          <w:color w:val="000000" w:themeColor="text1"/>
          <w:sz w:val="32"/>
          <w:szCs w:val="32"/>
          <w14:textFill>
            <w14:solidFill>
              <w14:schemeClr w14:val="tx1"/>
            </w14:solidFill>
          </w14:textFill>
        </w:rPr>
        <w:t>，确保工作实效</w:t>
      </w:r>
    </w:p>
    <w:p>
      <w:pPr>
        <w:spacing w:line="576"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_GB2312" w:hAnsi="仿宋" w:eastAsia="仿宋_GB2312" w:cs="仿宋"/>
          <w:kern w:val="2"/>
          <w:sz w:val="32"/>
          <w:szCs w:val="32"/>
          <w:lang w:val="en-US" w:eastAsia="zh-CN" w:bidi="ar-SA"/>
        </w:rPr>
        <w:t>通过对《论述摘编》的学习，林业集团党委不断完善精神文明工作机</w:t>
      </w:r>
      <w:r>
        <w:rPr>
          <w:rFonts w:hint="eastAsia" w:ascii="仿宋" w:hAnsi="仿宋" w:eastAsia="仿宋"/>
          <w:color w:val="000000" w:themeColor="text1"/>
          <w:sz w:val="32"/>
          <w:szCs w:val="32"/>
          <w:lang w:val="en-US" w:eastAsia="zh-CN"/>
          <w14:textFill>
            <w14:solidFill>
              <w14:schemeClr w14:val="tx1"/>
            </w14:solidFill>
          </w14:textFill>
        </w:rPr>
        <w:t>制，完善精神文明创建工作实施细则，将精神文明与日常工作同时规划、同力推进，扎实做好工会、共青团、妇联等群团组织建设，积极开展职工文体活动，达到统一思想、凝聚人心、激发动力的良好效果，形成朝气蓬勃、活力四射的浓厚氛围。</w:t>
      </w:r>
      <w:r>
        <w:rPr>
          <w:rFonts w:hint="eastAsia" w:ascii="仿宋" w:hAnsi="仿宋" w:eastAsia="仿宋"/>
          <w:b/>
          <w:bCs/>
          <w:color w:val="000000" w:themeColor="text1"/>
          <w:sz w:val="32"/>
          <w:szCs w:val="32"/>
          <w:lang w:val="en-US" w:eastAsia="zh-CN"/>
          <w14:textFill>
            <w14:solidFill>
              <w14:schemeClr w14:val="tx1"/>
            </w14:solidFill>
          </w14:textFill>
        </w:rPr>
        <w:t>一是</w:t>
      </w:r>
      <w:r>
        <w:rPr>
          <w:rFonts w:hint="eastAsia" w:ascii="仿宋" w:hAnsi="仿宋" w:eastAsia="仿宋"/>
          <w:color w:val="000000" w:themeColor="text1"/>
          <w:sz w:val="32"/>
          <w:szCs w:val="32"/>
          <w14:textFill>
            <w14:solidFill>
              <w14:schemeClr w14:val="tx1"/>
            </w14:solidFill>
          </w14:textFill>
        </w:rPr>
        <w:t>惠及群众，担当作为</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11月下旬，集团工会召开“情系职工 暖在陕林”职工座谈会，对新婚生育的职工进行慰问，</w:t>
      </w:r>
      <w:r>
        <w:rPr>
          <w:rFonts w:hint="eastAsia" w:ascii="仿宋" w:hAnsi="仿宋" w:eastAsia="仿宋"/>
          <w:color w:val="000000" w:themeColor="text1"/>
          <w:sz w:val="32"/>
          <w:szCs w:val="32"/>
          <w14:textFill>
            <w14:solidFill>
              <w14:schemeClr w14:val="tx1"/>
            </w14:solidFill>
          </w14:textFill>
        </w:rPr>
        <w:t>让员工感受企业的深切关怀，营造了浓厚的社会主义核心价值观建设氛围。</w:t>
      </w:r>
      <w:r>
        <w:rPr>
          <w:rFonts w:hint="eastAsia" w:ascii="仿宋" w:hAnsi="仿宋" w:eastAsia="仿宋"/>
          <w:b/>
          <w:bCs/>
          <w:color w:val="000000" w:themeColor="text1"/>
          <w:sz w:val="32"/>
          <w:szCs w:val="32"/>
          <w:lang w:val="en-US" w:eastAsia="zh-CN"/>
          <w14:textFill>
            <w14:solidFill>
              <w14:schemeClr w14:val="tx1"/>
            </w14:solidFill>
          </w14:textFill>
        </w:rPr>
        <w:t>二是</w:t>
      </w:r>
      <w:r>
        <w:rPr>
          <w:rFonts w:hint="eastAsia" w:ascii="仿宋" w:hAnsi="仿宋" w:eastAsia="仿宋"/>
          <w:color w:val="000000" w:themeColor="text1"/>
          <w:sz w:val="32"/>
          <w:szCs w:val="32"/>
          <w14:textFill>
            <w14:solidFill>
              <w14:schemeClr w14:val="tx1"/>
            </w14:solidFill>
          </w14:textFill>
        </w:rPr>
        <w:t>发扬作风，锤炼党性</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10月至今，持续推动作风建设和深入推进清廉国企建设，</w:t>
      </w:r>
      <w:r>
        <w:rPr>
          <w:rFonts w:hint="eastAsia" w:ascii="仿宋" w:hAnsi="仿宋" w:eastAsia="仿宋"/>
          <w:color w:val="000000" w:themeColor="text1"/>
          <w:sz w:val="32"/>
          <w:szCs w:val="32"/>
          <w14:textFill>
            <w14:solidFill>
              <w14:schemeClr w14:val="tx1"/>
            </w14:solidFill>
          </w14:textFill>
        </w:rPr>
        <w:t>教育引导党员干部强化思想武装，加强自我修炼，坚定对党的忠诚和信仰。</w:t>
      </w:r>
      <w:r>
        <w:rPr>
          <w:rFonts w:hint="eastAsia" w:ascii="仿宋" w:hAnsi="仿宋" w:eastAsia="仿宋"/>
          <w:b/>
          <w:bCs/>
          <w:color w:val="000000" w:themeColor="text1"/>
          <w:sz w:val="32"/>
          <w:szCs w:val="32"/>
          <w:lang w:val="en-US" w:eastAsia="zh-CN"/>
          <w14:textFill>
            <w14:solidFill>
              <w14:schemeClr w14:val="tx1"/>
            </w14:solidFill>
          </w14:textFill>
        </w:rPr>
        <w:t>三是</w:t>
      </w:r>
      <w:r>
        <w:rPr>
          <w:rFonts w:hint="eastAsia" w:ascii="仿宋" w:hAnsi="仿宋" w:eastAsia="仿宋"/>
          <w:color w:val="000000" w:themeColor="text1"/>
          <w:sz w:val="32"/>
          <w:szCs w:val="32"/>
          <w:lang w:val="en-US" w:eastAsia="zh-CN"/>
          <w14:textFill>
            <w14:solidFill>
              <w14:schemeClr w14:val="tx1"/>
            </w14:solidFill>
          </w14:textFill>
        </w:rPr>
        <w:t>筑牢防线、文明培育。集团党委落实意识形态工作责任制，</w:t>
      </w:r>
      <w:r>
        <w:rPr>
          <w:rFonts w:hint="eastAsia" w:ascii="仿宋" w:hAnsi="仿宋" w:eastAsia="仿宋"/>
          <w:color w:val="000000" w:themeColor="text1"/>
          <w:sz w:val="32"/>
          <w:szCs w:val="32"/>
          <w14:textFill>
            <w14:solidFill>
              <w14:schemeClr w14:val="tx1"/>
            </w14:solidFill>
          </w14:textFill>
        </w:rPr>
        <w:t>号召干部职工健康文明上网，</w:t>
      </w:r>
      <w:r>
        <w:rPr>
          <w:rFonts w:hint="eastAsia" w:ascii="仿宋" w:hAnsi="仿宋" w:eastAsia="仿宋"/>
          <w:color w:val="000000" w:themeColor="text1"/>
          <w:sz w:val="32"/>
          <w:szCs w:val="32"/>
          <w:lang w:val="en-US" w:eastAsia="zh-CN"/>
          <w14:textFill>
            <w14:solidFill>
              <w14:schemeClr w14:val="tx1"/>
            </w14:solidFill>
          </w14:textFill>
        </w:rPr>
        <w:t>发扬斗争精神，敢于担当亮剑，坚持依法管网治网，教育引导集团干部职工弘扬主旋律、传播正能量。</w:t>
      </w:r>
      <w:r>
        <w:rPr>
          <w:rFonts w:hint="eastAsia" w:ascii="仿宋" w:hAnsi="仿宋" w:eastAsia="仿宋"/>
          <w:color w:val="000000" w:themeColor="text1"/>
          <w:sz w:val="32"/>
          <w:szCs w:val="32"/>
          <w14:textFill>
            <w14:solidFill>
              <w14:schemeClr w14:val="tx1"/>
            </w14:solidFill>
          </w14:textFill>
        </w:rPr>
        <w:t>共同构建健康有序、文明和谐的网络生态环境。</w:t>
      </w:r>
    </w:p>
    <w:p>
      <w:pPr>
        <w:spacing w:line="576"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576"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下一步，集团党委将以此《论述摘编》的学习为契机，紧紧围绕学习宣传贯彻党的二十大精神首要政治任务，深入学习宣传贯彻《论述摘编》，做到在学深悟透中聚焦培根铸魂把握重大意义，在守正创新中</w:t>
      </w:r>
      <w:bookmarkStart w:id="0" w:name="_GoBack"/>
      <w:bookmarkEnd w:id="0"/>
      <w:r>
        <w:rPr>
          <w:rFonts w:hint="eastAsia" w:ascii="仿宋" w:hAnsi="仿宋" w:eastAsia="仿宋"/>
          <w:color w:val="000000" w:themeColor="text1"/>
          <w:sz w:val="32"/>
          <w:szCs w:val="32"/>
          <w:lang w:val="en-US" w:eastAsia="zh-CN"/>
          <w14:textFill>
            <w14:solidFill>
              <w14:schemeClr w14:val="tx1"/>
            </w14:solidFill>
          </w14:textFill>
        </w:rPr>
        <w:t>聚焦宣传引导践行使命任务，在全面贯彻中聚焦正本清源引导服务群众，扛牢“举旗帜、聚民心、育新人、兴文化、展形象”的使命任务，涵育陕林文化，不断增强陕林的凝聚力、向心力、竞争力。</w:t>
      </w:r>
    </w:p>
    <w:p>
      <w:pPr>
        <w:spacing w:line="576"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pStyle w:val="2"/>
        <w:widowControl/>
        <w:spacing w:beforeAutospacing="0" w:afterAutospacing="0" w:line="576" w:lineRule="exact"/>
        <w:ind w:firstLine="3200" w:firstLineChars="1000"/>
        <w:jc w:val="both"/>
        <w:rPr>
          <w:rFonts w:ascii="仿宋_GB2312" w:hAnsi="仿宋" w:eastAsia="仿宋_GB2312" w:cs="仿宋"/>
          <w:kern w:val="2"/>
          <w:sz w:val="32"/>
          <w:szCs w:val="32"/>
        </w:rPr>
      </w:pPr>
      <w:r>
        <w:rPr>
          <w:rFonts w:hint="eastAsia" w:ascii="仿宋_GB2312" w:hAnsi="仿宋" w:eastAsia="仿宋_GB2312" w:cs="仿宋"/>
          <w:kern w:val="2"/>
          <w:sz w:val="32"/>
          <w:szCs w:val="32"/>
        </w:rPr>
        <w:t>中共陕西林业集团有限公司委员会</w:t>
      </w:r>
    </w:p>
    <w:p>
      <w:pPr>
        <w:pStyle w:val="2"/>
        <w:widowControl/>
        <w:spacing w:beforeAutospacing="0" w:afterAutospacing="0" w:line="576" w:lineRule="exact"/>
        <w:ind w:firstLine="640" w:firstLineChars="200"/>
        <w:jc w:val="both"/>
        <w:rPr>
          <w:rFonts w:ascii="仿宋_GB2312" w:hAnsi="仿宋" w:eastAsia="仿宋_GB2312" w:cs="仿宋"/>
          <w:kern w:val="2"/>
          <w:sz w:val="32"/>
          <w:szCs w:val="32"/>
        </w:rPr>
      </w:pPr>
      <w:r>
        <w:rPr>
          <w:rFonts w:hint="eastAsia" w:ascii="仿宋_GB2312" w:hAnsi="仿宋" w:eastAsia="仿宋_GB2312" w:cs="仿宋"/>
          <w:kern w:val="2"/>
          <w:sz w:val="32"/>
          <w:szCs w:val="32"/>
        </w:rPr>
        <w:t xml:space="preserve">                             2022年</w:t>
      </w:r>
      <w:r>
        <w:rPr>
          <w:rFonts w:hint="eastAsia" w:ascii="仿宋_GB2312" w:hAnsi="仿宋" w:eastAsia="仿宋_GB2312" w:cs="仿宋"/>
          <w:kern w:val="2"/>
          <w:sz w:val="32"/>
          <w:szCs w:val="32"/>
          <w:lang w:val="en-US" w:eastAsia="zh-CN"/>
        </w:rPr>
        <w:t>12</w:t>
      </w:r>
      <w:r>
        <w:rPr>
          <w:rFonts w:hint="eastAsia" w:ascii="仿宋_GB2312" w:hAnsi="仿宋" w:eastAsia="仿宋_GB2312" w:cs="仿宋"/>
          <w:kern w:val="2"/>
          <w:sz w:val="32"/>
          <w:szCs w:val="32"/>
        </w:rPr>
        <w:t>月</w:t>
      </w:r>
      <w:r>
        <w:rPr>
          <w:rFonts w:hint="eastAsia" w:ascii="仿宋_GB2312" w:hAnsi="仿宋" w:eastAsia="仿宋_GB2312" w:cs="仿宋"/>
          <w:kern w:val="2"/>
          <w:sz w:val="32"/>
          <w:szCs w:val="32"/>
          <w:lang w:val="en-US" w:eastAsia="zh-CN"/>
        </w:rPr>
        <w:t>1</w:t>
      </w:r>
      <w:r>
        <w:rPr>
          <w:rFonts w:hint="eastAsia" w:ascii="仿宋_GB2312" w:hAnsi="仿宋" w:eastAsia="仿宋_GB2312" w:cs="仿宋"/>
          <w:kern w:val="2"/>
          <w:sz w:val="32"/>
          <w:szCs w:val="32"/>
        </w:rPr>
        <w:t>日</w:t>
      </w:r>
    </w:p>
    <w:p>
      <w:pPr>
        <w:spacing w:line="576"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yZWI2ZDBjYTA3MWNmNzgzMzkxZTM0MTY1OWFlMzIifQ=="/>
  </w:docVars>
  <w:rsids>
    <w:rsidRoot w:val="2575756F"/>
    <w:rsid w:val="01F1594A"/>
    <w:rsid w:val="06B84C89"/>
    <w:rsid w:val="06BA455D"/>
    <w:rsid w:val="09AF2373"/>
    <w:rsid w:val="0CC46135"/>
    <w:rsid w:val="0EB8407D"/>
    <w:rsid w:val="118C11EC"/>
    <w:rsid w:val="130A686C"/>
    <w:rsid w:val="13B011C1"/>
    <w:rsid w:val="19173A91"/>
    <w:rsid w:val="1A147FD0"/>
    <w:rsid w:val="1A5A1E87"/>
    <w:rsid w:val="1A7F18ED"/>
    <w:rsid w:val="1B9413C8"/>
    <w:rsid w:val="221E379A"/>
    <w:rsid w:val="2575756F"/>
    <w:rsid w:val="26413EFB"/>
    <w:rsid w:val="2665408D"/>
    <w:rsid w:val="27B32BD6"/>
    <w:rsid w:val="280671AA"/>
    <w:rsid w:val="29752839"/>
    <w:rsid w:val="2A1262DA"/>
    <w:rsid w:val="2D0F4D53"/>
    <w:rsid w:val="2D151E0C"/>
    <w:rsid w:val="2D8C63A3"/>
    <w:rsid w:val="2F5C7FF7"/>
    <w:rsid w:val="30515682"/>
    <w:rsid w:val="31AC0DC2"/>
    <w:rsid w:val="322F37A1"/>
    <w:rsid w:val="329A4657"/>
    <w:rsid w:val="356B4AF0"/>
    <w:rsid w:val="36160F00"/>
    <w:rsid w:val="39184F8F"/>
    <w:rsid w:val="3C526A0A"/>
    <w:rsid w:val="3E5F71BC"/>
    <w:rsid w:val="3EB9054D"/>
    <w:rsid w:val="404F5E7F"/>
    <w:rsid w:val="41195D48"/>
    <w:rsid w:val="433B1DC8"/>
    <w:rsid w:val="447D65EE"/>
    <w:rsid w:val="45B63B66"/>
    <w:rsid w:val="47FF1090"/>
    <w:rsid w:val="4AF55130"/>
    <w:rsid w:val="4D1B4BF6"/>
    <w:rsid w:val="4D970721"/>
    <w:rsid w:val="4F697E9B"/>
    <w:rsid w:val="50474638"/>
    <w:rsid w:val="52FD1026"/>
    <w:rsid w:val="5B836824"/>
    <w:rsid w:val="5E23390B"/>
    <w:rsid w:val="644F5459"/>
    <w:rsid w:val="653D3504"/>
    <w:rsid w:val="67A75BB6"/>
    <w:rsid w:val="67F56318"/>
    <w:rsid w:val="6AF812C8"/>
    <w:rsid w:val="6C3463EC"/>
    <w:rsid w:val="6D7C1559"/>
    <w:rsid w:val="6D9739CD"/>
    <w:rsid w:val="70CB230C"/>
    <w:rsid w:val="713954C7"/>
    <w:rsid w:val="74A0585D"/>
    <w:rsid w:val="771F0CBB"/>
    <w:rsid w:val="795A247F"/>
    <w:rsid w:val="7C3662C4"/>
    <w:rsid w:val="7F182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paragraph" w:customStyle="1" w:styleId="7">
    <w:name w:val="Char"/>
    <w:basedOn w:val="1"/>
    <w:next w:val="1"/>
    <w:qFormat/>
    <w:uiPriority w:val="0"/>
    <w:rPr>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1700</Words>
  <Characters>1706</Characters>
  <Lines>0</Lines>
  <Paragraphs>0</Paragraphs>
  <TotalTime>0</TotalTime>
  <ScaleCrop>false</ScaleCrop>
  <LinksUpToDate>false</LinksUpToDate>
  <CharactersWithSpaces>1803</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2022-11-30T23:58:00Z</dcterms:created>
  <dc:creator>Lenovo</dc:creator>
  <cp:lastModifiedBy>Lenovo</cp:lastModifiedBy>
  <dcterms:modified xsi:type="dcterms:W3CDTF">2022-12-01T01:15:16Z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533056E0CA254493B32DD0D34E313D99</vt:lpwstr>
  </property>
</Properties>
</file>